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A7" w:rsidRDefault="00F2764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-923913</wp:posOffset>
            </wp:positionH>
            <wp:positionV relativeFrom="paragraph">
              <wp:posOffset>-995680</wp:posOffset>
            </wp:positionV>
            <wp:extent cx="7570683" cy="2565779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Interviews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83" cy="256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A7" w:rsidRDefault="000518A7">
      <w:pPr>
        <w:jc w:val="center"/>
        <w:rPr>
          <w:rFonts w:ascii="Century Gothic" w:hAnsi="Century Gothic"/>
          <w:sz w:val="40"/>
          <w:szCs w:val="40"/>
        </w:rPr>
      </w:pPr>
    </w:p>
    <w:p w:rsidR="000518A7" w:rsidRDefault="000518A7">
      <w:pPr>
        <w:jc w:val="center"/>
        <w:rPr>
          <w:rFonts w:ascii="Century Gothic" w:hAnsi="Century Gothic"/>
          <w:sz w:val="40"/>
          <w:szCs w:val="40"/>
        </w:rPr>
      </w:pPr>
    </w:p>
    <w:p w:rsidR="000518A7" w:rsidRDefault="000518A7">
      <w:pPr>
        <w:jc w:val="center"/>
        <w:rPr>
          <w:rFonts w:ascii="Century Gothic" w:hAnsi="Century Gothic"/>
          <w:sz w:val="40"/>
          <w:szCs w:val="40"/>
        </w:rPr>
      </w:pPr>
    </w:p>
    <w:p w:rsidR="000518A7" w:rsidRDefault="00F276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Company Background</w:t>
      </w:r>
    </w:p>
    <w:p w:rsidR="000518A7" w:rsidRDefault="00F27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TBOWA Resort have opened a holiday </w:t>
      </w:r>
      <w:r w:rsidR="006F3102">
        <w:rPr>
          <w:rFonts w:cstheme="minorHAnsi"/>
          <w:sz w:val="24"/>
          <w:szCs w:val="24"/>
        </w:rPr>
        <w:t>complex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in Bournemouth. </w:t>
      </w:r>
      <w:r w:rsidR="006F3CEF">
        <w:rPr>
          <w:rFonts w:cstheme="minorHAnsi"/>
          <w:sz w:val="24"/>
          <w:szCs w:val="24"/>
        </w:rPr>
        <w:t xml:space="preserve"> In a partnership with The Bishop of Winchester Academy t</w:t>
      </w:r>
      <w:r>
        <w:rPr>
          <w:rFonts w:cstheme="minorHAnsi"/>
          <w:sz w:val="24"/>
          <w:szCs w:val="24"/>
        </w:rPr>
        <w:t xml:space="preserve">hey are looking to recruit </w:t>
      </w:r>
      <w:r w:rsidR="006F3CEF">
        <w:rPr>
          <w:rFonts w:cstheme="minorHAnsi"/>
          <w:sz w:val="24"/>
          <w:szCs w:val="24"/>
        </w:rPr>
        <w:t xml:space="preserve">students from Year 10 on 3 month </w:t>
      </w:r>
      <w:r w:rsidR="007D42FA">
        <w:rPr>
          <w:rFonts w:cstheme="minorHAnsi"/>
          <w:sz w:val="24"/>
          <w:szCs w:val="24"/>
        </w:rPr>
        <w:t>interns</w:t>
      </w:r>
      <w:r w:rsidR="006F3CEF">
        <w:rPr>
          <w:rFonts w:cstheme="minorHAnsi"/>
          <w:sz w:val="24"/>
          <w:szCs w:val="24"/>
        </w:rPr>
        <w:t xml:space="preserve">hips </w:t>
      </w:r>
      <w:r w:rsidR="00381E0D">
        <w:rPr>
          <w:rFonts w:cstheme="minorHAnsi"/>
          <w:sz w:val="24"/>
          <w:szCs w:val="24"/>
        </w:rPr>
        <w:t>to meet the increased demand in service over</w:t>
      </w:r>
      <w:r>
        <w:rPr>
          <w:rFonts w:cstheme="minorHAnsi"/>
          <w:sz w:val="24"/>
          <w:szCs w:val="24"/>
        </w:rPr>
        <w:t xml:space="preserve"> the summer season</w:t>
      </w:r>
      <w:r w:rsidR="00381E0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which is their peak time for customers.</w:t>
      </w:r>
      <w:r w:rsidR="008133C5">
        <w:rPr>
          <w:rFonts w:cstheme="minorHAnsi"/>
          <w:sz w:val="24"/>
          <w:szCs w:val="24"/>
        </w:rPr>
        <w:t xml:space="preserve">  These opportunities</w:t>
      </w:r>
      <w:r w:rsidR="006F3CEF">
        <w:rPr>
          <w:rFonts w:cstheme="minorHAnsi"/>
          <w:sz w:val="24"/>
          <w:szCs w:val="24"/>
        </w:rPr>
        <w:t xml:space="preserve"> will form part of the academic curriculum and</w:t>
      </w:r>
      <w:r w:rsidR="008133C5">
        <w:rPr>
          <w:rFonts w:cstheme="minorHAnsi"/>
          <w:sz w:val="24"/>
          <w:szCs w:val="24"/>
        </w:rPr>
        <w:t xml:space="preserve"> will provide students with a valuable experience of work to support their academic development and careers education.</w:t>
      </w:r>
    </w:p>
    <w:p w:rsidR="000518A7" w:rsidRDefault="000518A7">
      <w:pPr>
        <w:jc w:val="both"/>
        <w:rPr>
          <w:rFonts w:cstheme="minorHAnsi"/>
          <w:sz w:val="32"/>
          <w:szCs w:val="32"/>
        </w:rPr>
      </w:pPr>
    </w:p>
    <w:p w:rsidR="000518A7" w:rsidRDefault="008133C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Resort</w:t>
      </w:r>
    </w:p>
    <w:p w:rsidR="000518A7" w:rsidRDefault="00F27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TBOWA Resort offer</w:t>
      </w:r>
      <w:r w:rsidR="008133C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short and long </w:t>
      </w:r>
      <w:r w:rsidR="006F3CEF">
        <w:rPr>
          <w:rFonts w:cstheme="minorHAnsi"/>
          <w:sz w:val="24"/>
          <w:szCs w:val="24"/>
        </w:rPr>
        <w:t>bookings</w:t>
      </w:r>
      <w:r>
        <w:rPr>
          <w:rFonts w:cstheme="minorHAnsi"/>
          <w:sz w:val="24"/>
          <w:szCs w:val="24"/>
        </w:rPr>
        <w:t xml:space="preserve"> to a range of clients including couples, families and groups of young professionals who wish to holiday together. </w:t>
      </w:r>
      <w:r w:rsidR="006F3CEF">
        <w:rPr>
          <w:rFonts w:cstheme="minorHAnsi"/>
          <w:sz w:val="24"/>
          <w:szCs w:val="24"/>
        </w:rPr>
        <w:t>Holiday are offered on a self-catered, or an all-inclusive basis</w:t>
      </w:r>
      <w:r>
        <w:rPr>
          <w:rFonts w:cstheme="minorHAnsi"/>
          <w:sz w:val="24"/>
          <w:szCs w:val="24"/>
        </w:rPr>
        <w:t xml:space="preserve"> </w:t>
      </w:r>
      <w:r w:rsidR="006F3CEF">
        <w:rPr>
          <w:rFonts w:cstheme="minorHAnsi"/>
          <w:sz w:val="24"/>
          <w:szCs w:val="24"/>
        </w:rPr>
        <w:t>where</w:t>
      </w:r>
      <w:r>
        <w:rPr>
          <w:rFonts w:cstheme="minorHAnsi"/>
          <w:sz w:val="24"/>
          <w:szCs w:val="24"/>
        </w:rPr>
        <w:t xml:space="preserve"> food, drinks and activities are included in the holiday price.  Accommodation and hospitality facilities are varied to </w:t>
      </w:r>
      <w:r w:rsidR="008133C5">
        <w:rPr>
          <w:rFonts w:cstheme="minorHAnsi"/>
          <w:sz w:val="24"/>
          <w:szCs w:val="24"/>
        </w:rPr>
        <w:t xml:space="preserve">offer a wide range of choice to </w:t>
      </w:r>
      <w:r>
        <w:rPr>
          <w:rFonts w:cstheme="minorHAnsi"/>
          <w:sz w:val="24"/>
          <w:szCs w:val="24"/>
        </w:rPr>
        <w:t xml:space="preserve">meet the requirement or preference of all of our </w:t>
      </w:r>
      <w:r w:rsidR="008133C5">
        <w:rPr>
          <w:rFonts w:cstheme="minorHAnsi"/>
          <w:sz w:val="24"/>
          <w:szCs w:val="24"/>
        </w:rPr>
        <w:t>guests</w:t>
      </w:r>
      <w:r>
        <w:rPr>
          <w:rFonts w:cstheme="minorHAnsi"/>
          <w:sz w:val="24"/>
          <w:szCs w:val="24"/>
        </w:rPr>
        <w:t>.</w:t>
      </w:r>
    </w:p>
    <w:p w:rsidR="000518A7" w:rsidRDefault="00F27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 range of facilities on site including: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Luxury, family and small group accommodation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Restaurants and Bars</w:t>
      </w:r>
    </w:p>
    <w:p w:rsidR="008133C5" w:rsidRDefault="008133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Salon and Spa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Swimming Pool and Leisure Centre</w:t>
      </w:r>
    </w:p>
    <w:p w:rsidR="008133C5" w:rsidRDefault="008133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Tennis, football, volleyball and crazy golf facilities</w:t>
      </w:r>
    </w:p>
    <w:p w:rsidR="000518A7" w:rsidRDefault="008133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Kids Club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Crèche</w:t>
      </w:r>
    </w:p>
    <w:p w:rsidR="000518A7" w:rsidRDefault="008133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Sports Beach Arena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Centre</w:t>
      </w:r>
    </w:p>
    <w:p w:rsidR="000518A7" w:rsidRDefault="008133C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Animal Encounter Experience</w:t>
      </w:r>
    </w:p>
    <w:p w:rsidR="000518A7" w:rsidRDefault="00F2764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Theatre</w:t>
      </w:r>
    </w:p>
    <w:p w:rsidR="006F3CEF" w:rsidRDefault="006F3C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Retail outlets providing refreshment and souvenir items</w:t>
      </w:r>
    </w:p>
    <w:p w:rsidR="000518A7" w:rsidRDefault="000518A7">
      <w:pPr>
        <w:jc w:val="both"/>
        <w:rPr>
          <w:rFonts w:cstheme="minorHAnsi"/>
          <w:sz w:val="24"/>
          <w:szCs w:val="24"/>
        </w:rPr>
      </w:pPr>
    </w:p>
    <w:p w:rsidR="000518A7" w:rsidRDefault="000518A7">
      <w:pPr>
        <w:jc w:val="both"/>
        <w:rPr>
          <w:rFonts w:cstheme="minorHAnsi"/>
          <w:sz w:val="24"/>
          <w:szCs w:val="24"/>
        </w:rPr>
      </w:pPr>
    </w:p>
    <w:p w:rsidR="000518A7" w:rsidRDefault="00F2764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Company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7629"/>
      </w:tblGrid>
      <w:tr w:rsidR="000518A7">
        <w:tc>
          <w:tcPr>
            <w:tcW w:w="1397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7845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TBOWA Resort was established in 1990 when the</w:t>
            </w:r>
            <w:r w:rsidR="006F3CEF">
              <w:rPr>
                <w:rFonts w:cstheme="minorHAnsi"/>
                <w:sz w:val="24"/>
                <w:szCs w:val="24"/>
              </w:rPr>
              <w:t>ir first</w:t>
            </w:r>
            <w:r>
              <w:rPr>
                <w:rFonts w:cstheme="minorHAnsi"/>
                <w:sz w:val="24"/>
                <w:szCs w:val="24"/>
              </w:rPr>
              <w:t xml:space="preserve"> holiday park at Winchester </w:t>
            </w:r>
            <w:r w:rsidR="006F3CEF">
              <w:rPr>
                <w:rFonts w:cstheme="minorHAnsi"/>
                <w:sz w:val="24"/>
                <w:szCs w:val="24"/>
              </w:rPr>
              <w:t>opened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F3CEF" w:rsidRDefault="006F3CE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42FA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company decided to </w:t>
            </w:r>
            <w:r w:rsidR="006F3CEF">
              <w:rPr>
                <w:rFonts w:cstheme="minorHAnsi"/>
                <w:sz w:val="24"/>
                <w:szCs w:val="24"/>
              </w:rPr>
              <w:t>expand</w:t>
            </w:r>
            <w:r>
              <w:rPr>
                <w:rFonts w:cstheme="minorHAnsi"/>
                <w:sz w:val="24"/>
                <w:szCs w:val="24"/>
              </w:rPr>
              <w:t xml:space="preserve"> in 2012 and commenced build of the new Bournemouth site in </w:t>
            </w:r>
            <w:r w:rsidR="006F3CEF">
              <w:rPr>
                <w:rFonts w:cstheme="minorHAnsi"/>
                <w:sz w:val="24"/>
                <w:szCs w:val="24"/>
              </w:rPr>
              <w:t>2015</w:t>
            </w:r>
            <w:r w:rsidR="007D42FA">
              <w:rPr>
                <w:rFonts w:cstheme="minorHAnsi"/>
                <w:sz w:val="24"/>
                <w:szCs w:val="24"/>
              </w:rPr>
              <w:t>, which opened in March 201</w:t>
            </w:r>
            <w:r w:rsidR="006F3CEF">
              <w:rPr>
                <w:rFonts w:cstheme="minorHAnsi"/>
                <w:sz w:val="24"/>
                <w:szCs w:val="24"/>
              </w:rPr>
              <w:t>8</w:t>
            </w:r>
            <w:r w:rsidR="007D42FA">
              <w:rPr>
                <w:rFonts w:cstheme="minorHAnsi"/>
                <w:sz w:val="24"/>
                <w:szCs w:val="24"/>
              </w:rPr>
              <w:t>.</w:t>
            </w:r>
          </w:p>
          <w:p w:rsidR="007D42FA" w:rsidRDefault="007D42F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7D42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Following the impact on tourism and hospitality of the recent Covid pandemic, the </w:t>
            </w:r>
            <w:r w:rsidR="00F27647">
              <w:rPr>
                <w:rFonts w:cstheme="minorHAnsi"/>
                <w:sz w:val="24"/>
                <w:szCs w:val="24"/>
              </w:rPr>
              <w:t>resort</w:t>
            </w:r>
            <w:r>
              <w:rPr>
                <w:rFonts w:cstheme="minorHAnsi"/>
                <w:sz w:val="24"/>
                <w:szCs w:val="24"/>
              </w:rPr>
              <w:t xml:space="preserve"> was not open to visitors in 2021 but underwent a major refurbishment in the anticipation of welcoming more guests in 2022.  New accommodation to suit families and young professional groups has been developed to reflect Bournemouth’s new status as a UK destination of choice</w:t>
            </w:r>
            <w:r w:rsidR="00F2764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518A7" w:rsidRDefault="000518A7" w:rsidP="007D42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18A7">
        <w:tc>
          <w:tcPr>
            <w:tcW w:w="1397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</w:t>
            </w:r>
          </w:p>
        </w:tc>
        <w:tc>
          <w:tcPr>
            <w:tcW w:w="7845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company has 250 employees.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18A7">
        <w:tc>
          <w:tcPr>
            <w:tcW w:w="1397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Visitors </w:t>
            </w:r>
          </w:p>
        </w:tc>
        <w:tc>
          <w:tcPr>
            <w:tcW w:w="7845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resort in Winchester receive</w:t>
            </w:r>
            <w:r w:rsidR="006F3CEF">
              <w:rPr>
                <w:rFonts w:cstheme="minorHAnsi"/>
                <w:sz w:val="24"/>
                <w:szCs w:val="24"/>
              </w:rPr>
              <w:t>s approximately</w:t>
            </w:r>
            <w:r>
              <w:rPr>
                <w:rFonts w:cstheme="minorHAnsi"/>
                <w:sz w:val="24"/>
                <w:szCs w:val="24"/>
              </w:rPr>
              <w:t xml:space="preserve"> 4,500 visitors each year. The number of visitors predicted for the Bournemouth resort is above 12,000.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18A7">
        <w:tc>
          <w:tcPr>
            <w:tcW w:w="1397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Awards</w:t>
            </w:r>
          </w:p>
        </w:tc>
        <w:tc>
          <w:tcPr>
            <w:tcW w:w="7845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 – Won award for Best UK Holiday Destination</w:t>
            </w: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 – Bronze Award for Visitor Experience</w:t>
            </w: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2010 - Sunday Times 25 Best Big Companies to Work For listing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18A7">
        <w:tc>
          <w:tcPr>
            <w:tcW w:w="1397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Mission</w:t>
            </w:r>
          </w:p>
        </w:tc>
        <w:tc>
          <w:tcPr>
            <w:tcW w:w="7845" w:type="dxa"/>
          </w:tcPr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at our holiday resorts</w:t>
            </w:r>
            <w:r w:rsidR="007D42FA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services and products which enable the maximum number of </w:t>
            </w:r>
            <w:r w:rsidR="006F3CEF">
              <w:rPr>
                <w:rFonts w:cstheme="minorHAnsi"/>
                <w:sz w:val="24"/>
                <w:szCs w:val="24"/>
              </w:rPr>
              <w:t>guests to</w:t>
            </w:r>
            <w:r>
              <w:rPr>
                <w:rFonts w:cstheme="minorHAnsi"/>
                <w:sz w:val="24"/>
                <w:szCs w:val="24"/>
              </w:rPr>
              <w:t xml:space="preserve"> happily to enjoy a holiday or holiday home ownership, in a safe, secure and appealing environment 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and develop services, facilities and </w:t>
            </w:r>
            <w:r w:rsidR="007D42FA">
              <w:rPr>
                <w:rFonts w:cstheme="minorHAnsi"/>
                <w:sz w:val="24"/>
                <w:szCs w:val="24"/>
              </w:rPr>
              <w:t>accommodation to attract new customers from the young professional demographic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="007D42FA">
              <w:rPr>
                <w:rFonts w:cstheme="minorHAnsi"/>
                <w:sz w:val="24"/>
                <w:szCs w:val="24"/>
              </w:rPr>
              <w:t xml:space="preserve">diversify and increase the appeal </w:t>
            </w:r>
            <w:r>
              <w:rPr>
                <w:rFonts w:cstheme="minorHAnsi"/>
                <w:sz w:val="24"/>
                <w:szCs w:val="24"/>
              </w:rPr>
              <w:t xml:space="preserve">of our holiday resorts 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 our employees towards excellence, recognise achievement and provide opportunities to develop their careers 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18A7" w:rsidRDefault="00F2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the integrity of the company and its brands</w:t>
            </w:r>
          </w:p>
          <w:p w:rsidR="000518A7" w:rsidRDefault="000518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518A7" w:rsidRDefault="000518A7">
      <w:pPr>
        <w:jc w:val="both"/>
        <w:rPr>
          <w:rFonts w:cstheme="minorHAnsi"/>
          <w:sz w:val="24"/>
          <w:szCs w:val="24"/>
        </w:rPr>
      </w:pPr>
    </w:p>
    <w:sectPr w:rsidR="000518A7" w:rsidSect="006F3CE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50F3"/>
    <w:multiLevelType w:val="hybridMultilevel"/>
    <w:tmpl w:val="8D54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362B"/>
    <w:multiLevelType w:val="hybridMultilevel"/>
    <w:tmpl w:val="969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7B0A"/>
    <w:multiLevelType w:val="hybridMultilevel"/>
    <w:tmpl w:val="E2E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7"/>
    <w:rsid w:val="000518A7"/>
    <w:rsid w:val="00381E0D"/>
    <w:rsid w:val="006F3102"/>
    <w:rsid w:val="006F3CEF"/>
    <w:rsid w:val="007D42FA"/>
    <w:rsid w:val="008133C5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78AB6F5D"/>
  <w15:docId w15:val="{C4898820-001F-47EE-BE91-F72F092A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TBOWA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Bush</dc:creator>
  <cp:lastModifiedBy>Kirsten Bryan-Brown</cp:lastModifiedBy>
  <cp:revision>3</cp:revision>
  <dcterms:created xsi:type="dcterms:W3CDTF">2022-05-24T12:14:00Z</dcterms:created>
  <dcterms:modified xsi:type="dcterms:W3CDTF">2022-05-24T13:14:00Z</dcterms:modified>
</cp:coreProperties>
</file>